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F6EA" w14:textId="77777777" w:rsidR="00AC6979" w:rsidRDefault="00AC6979">
      <w:pPr>
        <w:jc w:val="center"/>
        <w:rPr>
          <w:b/>
          <w:bCs/>
          <w:sz w:val="34"/>
          <w:szCs w:val="34"/>
        </w:rPr>
      </w:pPr>
    </w:p>
    <w:p w14:paraId="637A34E9" w14:textId="77777777" w:rsidR="001A74EE" w:rsidRDefault="001A74EE">
      <w:pPr>
        <w:jc w:val="center"/>
        <w:rPr>
          <w:b/>
          <w:bCs/>
          <w:sz w:val="34"/>
          <w:szCs w:val="34"/>
        </w:rPr>
      </w:pPr>
    </w:p>
    <w:p w14:paraId="6FF43E39" w14:textId="51B696E9" w:rsidR="00EF4CD3" w:rsidRPr="008A0648" w:rsidRDefault="00FB2E74">
      <w:pPr>
        <w:jc w:val="center"/>
        <w:rPr>
          <w:b/>
          <w:bCs/>
          <w:sz w:val="36"/>
          <w:szCs w:val="36"/>
        </w:rPr>
      </w:pPr>
      <w:r w:rsidRPr="008A0648">
        <w:rPr>
          <w:b/>
          <w:bCs/>
          <w:sz w:val="36"/>
          <w:szCs w:val="36"/>
        </w:rPr>
        <w:t>Task Force Reactive Nitrogen, 20</w:t>
      </w:r>
      <w:r w:rsidRPr="008A0648">
        <w:rPr>
          <w:b/>
          <w:bCs/>
          <w:sz w:val="36"/>
          <w:szCs w:val="36"/>
          <w:vertAlign w:val="superscript"/>
        </w:rPr>
        <w:t>th</w:t>
      </w:r>
      <w:r w:rsidRPr="008A0648">
        <w:rPr>
          <w:b/>
          <w:bCs/>
          <w:sz w:val="36"/>
          <w:szCs w:val="36"/>
        </w:rPr>
        <w:t xml:space="preserve"> meeting</w:t>
      </w:r>
      <w:r w:rsidR="00AC6979" w:rsidRPr="008A0648">
        <w:rPr>
          <w:b/>
          <w:bCs/>
          <w:sz w:val="36"/>
          <w:szCs w:val="36"/>
        </w:rPr>
        <w:t xml:space="preserve"> (TFRN-20)</w:t>
      </w:r>
    </w:p>
    <w:p w14:paraId="08040393" w14:textId="64C85956" w:rsidR="00EF4CD3" w:rsidRDefault="00FB2E74">
      <w:pPr>
        <w:jc w:val="center"/>
        <w:rPr>
          <w:b/>
          <w:bCs/>
        </w:rPr>
      </w:pPr>
      <w:r>
        <w:rPr>
          <w:b/>
          <w:bCs/>
        </w:rPr>
        <w:t>Thursday 23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–  Friday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October 2025</w:t>
      </w:r>
    </w:p>
    <w:p w14:paraId="1D09E36A" w14:textId="39501EB3" w:rsidR="00EF4CD3" w:rsidRDefault="00FB2E74">
      <w:pPr>
        <w:jc w:val="center"/>
      </w:pPr>
      <w:r>
        <w:t xml:space="preserve">Venue: </w:t>
      </w:r>
      <w:r>
        <w:rPr>
          <w:lang w:val="en-US"/>
        </w:rPr>
        <w:t>Hotel Marienlyst</w:t>
      </w:r>
      <w:r>
        <w:t>, Helsingør</w:t>
      </w:r>
      <w:r w:rsidR="00AC6979">
        <w:t>, Denmark</w:t>
      </w:r>
      <w:r>
        <w:t xml:space="preserve"> and online (hybrid)</w:t>
      </w:r>
    </w:p>
    <w:p w14:paraId="1F661826" w14:textId="77777777" w:rsidR="00EF4CD3" w:rsidRDefault="00EF4CD3">
      <w:pPr>
        <w:jc w:val="center"/>
      </w:pPr>
    </w:p>
    <w:p w14:paraId="2AB93DF3" w14:textId="77777777" w:rsidR="00EF4CD3" w:rsidRDefault="00FB2E74">
      <w:pPr>
        <w:jc w:val="center"/>
        <w:rPr>
          <w:b/>
          <w:bCs/>
        </w:rPr>
      </w:pPr>
      <w:r w:rsidRPr="008A0648">
        <w:rPr>
          <w:b/>
          <w:bCs/>
          <w:sz w:val="32"/>
          <w:szCs w:val="32"/>
        </w:rPr>
        <w:t>Draft Agenda</w:t>
      </w:r>
    </w:p>
    <w:p w14:paraId="337ADC9D" w14:textId="77777777" w:rsidR="001A74EE" w:rsidRDefault="001A74EE">
      <w:pPr>
        <w:rPr>
          <w:b/>
          <w:bCs/>
        </w:rPr>
      </w:pPr>
    </w:p>
    <w:p w14:paraId="1F8A6C72" w14:textId="1DDB1DAA" w:rsidR="00EF4CD3" w:rsidRDefault="00FB2E74" w:rsidP="008A0648">
      <w:pPr>
        <w:tabs>
          <w:tab w:val="left" w:pos="2874"/>
        </w:tabs>
        <w:rPr>
          <w:b/>
          <w:bCs/>
        </w:rPr>
      </w:pPr>
      <w:r>
        <w:rPr>
          <w:b/>
          <w:bCs/>
        </w:rPr>
        <w:t>Thursday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October.</w:t>
      </w:r>
      <w:r w:rsidR="008A0648">
        <w:rPr>
          <w:b/>
          <w:bCs/>
        </w:rPr>
        <w:tab/>
      </w:r>
    </w:p>
    <w:p w14:paraId="1C6F0ABD" w14:textId="4DB77BBE" w:rsidR="00EF4CD3" w:rsidRDefault="00FB2E74">
      <w:r>
        <w:rPr>
          <w:sz w:val="28"/>
          <w:szCs w:val="28"/>
        </w:rPr>
        <w:t>14</w:t>
      </w:r>
      <w:r w:rsidR="007E6449">
        <w:rPr>
          <w:sz w:val="28"/>
          <w:szCs w:val="28"/>
        </w:rPr>
        <w:t>3</w:t>
      </w:r>
      <w:r>
        <w:rPr>
          <w:sz w:val="28"/>
          <w:szCs w:val="28"/>
        </w:rPr>
        <w:t xml:space="preserve">0 CEST.  </w:t>
      </w:r>
      <w:r>
        <w:rPr>
          <w:b/>
          <w:bCs/>
          <w:sz w:val="28"/>
          <w:szCs w:val="28"/>
        </w:rPr>
        <w:t>Session 1: Strategic Overview of TFRN tasks</w:t>
      </w:r>
      <w:r w:rsidR="008A0648">
        <w:rPr>
          <w:b/>
          <w:bCs/>
          <w:sz w:val="28"/>
          <w:szCs w:val="28"/>
        </w:rPr>
        <w:t>, in particular</w:t>
      </w:r>
      <w:r>
        <w:rPr>
          <w:b/>
          <w:bCs/>
          <w:sz w:val="28"/>
          <w:szCs w:val="28"/>
        </w:rPr>
        <w:t xml:space="preserve"> in relation to revision of the Gothenburg Protocol</w:t>
      </w:r>
      <w:r>
        <w:rPr>
          <w:b/>
          <w:bCs/>
        </w:rPr>
        <w:t>.</w:t>
      </w:r>
    </w:p>
    <w:p w14:paraId="38CAD4D0" w14:textId="3FFFB6EC" w:rsidR="001A74EE" w:rsidRDefault="00FB2E74" w:rsidP="00D910BD">
      <w:r>
        <w:t>14</w:t>
      </w:r>
      <w:r w:rsidR="0001257E">
        <w:t>3</w:t>
      </w:r>
      <w:r>
        <w:t>0-14</w:t>
      </w:r>
      <w:r w:rsidR="0001257E">
        <w:t>3</w:t>
      </w:r>
      <w:r>
        <w:t>5. Welcome from the lead country  (</w:t>
      </w:r>
      <w:r>
        <w:rPr>
          <w:b/>
          <w:bCs/>
        </w:rPr>
        <w:t>Anna Gran</w:t>
      </w:r>
      <w:r w:rsidR="002362B8">
        <w:t xml:space="preserve"> </w:t>
      </w:r>
      <w:r w:rsidR="002362B8" w:rsidRPr="002362B8">
        <w:rPr>
          <w:i/>
          <w:iCs/>
        </w:rPr>
        <w:t>et al.</w:t>
      </w:r>
      <w:r w:rsidR="002362B8">
        <w:t>,</w:t>
      </w:r>
      <w:r>
        <w:t xml:space="preserve"> Ministry of Environment of Denmark)</w:t>
      </w:r>
      <w:r w:rsidR="00A144D2">
        <w:t>, a</w:t>
      </w:r>
      <w:r w:rsidR="00910977">
        <w:t xml:space="preserve">nd </w:t>
      </w:r>
      <w:r w:rsidR="00A144D2">
        <w:t xml:space="preserve">the TFRN </w:t>
      </w:r>
      <w:r w:rsidR="00910977">
        <w:t>co-chair</w:t>
      </w:r>
      <w:r w:rsidR="00A144D2">
        <w:t xml:space="preserve">s </w:t>
      </w:r>
      <w:r w:rsidR="00A144D2" w:rsidRPr="00B43042">
        <w:rPr>
          <w:b/>
          <w:bCs/>
        </w:rPr>
        <w:t>Tommy Dalgaard</w:t>
      </w:r>
      <w:r w:rsidR="00B43042">
        <w:t xml:space="preserve"> et al.</w:t>
      </w:r>
    </w:p>
    <w:p w14:paraId="7573877D" w14:textId="0215E36C" w:rsidR="00EF4CD3" w:rsidRDefault="00FB2E74" w:rsidP="008E0E45">
      <w:r>
        <w:t>14</w:t>
      </w:r>
      <w:r w:rsidR="00671D07">
        <w:t>35</w:t>
      </w:r>
      <w:r>
        <w:t>-145</w:t>
      </w:r>
      <w:r w:rsidR="005A1562">
        <w:t>0</w:t>
      </w:r>
      <w:r>
        <w:t>. Status of Gothenburg Protocol Revision Process: Emerging messages from the Helsingør Heads of Delegation Meeting  (</w:t>
      </w:r>
      <w:r>
        <w:rPr>
          <w:b/>
          <w:bCs/>
        </w:rPr>
        <w:t>Till Spranger</w:t>
      </w:r>
      <w:r>
        <w:t>, Chair, Working Group on Strategies and Review, WGSR</w:t>
      </w:r>
      <w:r w:rsidR="008E0E45">
        <w:t xml:space="preserve">. and </w:t>
      </w:r>
      <w:r w:rsidR="008E0E45" w:rsidRPr="00F23F17">
        <w:rPr>
          <w:b/>
          <w:bCs/>
        </w:rPr>
        <w:t>Dominique Pritula</w:t>
      </w:r>
      <w:r w:rsidR="008E0E45" w:rsidRPr="008E0E45">
        <w:t>, EB Chair</w:t>
      </w:r>
      <w:r w:rsidR="008E0E45">
        <w:t xml:space="preserve"> (tbc)</w:t>
      </w:r>
      <w:r>
        <w:t xml:space="preserve">). </w:t>
      </w:r>
    </w:p>
    <w:p w14:paraId="6C21B8AC" w14:textId="4C872B8F" w:rsidR="00EF4CD3" w:rsidRDefault="00FB2E74">
      <w:r>
        <w:t>145</w:t>
      </w:r>
      <w:r w:rsidR="007A0CB6">
        <w:t>0</w:t>
      </w:r>
      <w:r>
        <w:t>-15</w:t>
      </w:r>
      <w:r w:rsidR="00DD0F70">
        <w:t>1</w:t>
      </w:r>
      <w:r>
        <w:t>0.</w:t>
      </w:r>
      <w:r>
        <w:rPr>
          <w:b/>
          <w:bCs/>
        </w:rPr>
        <w:t xml:space="preserve">  General discussion on emerging issues for Gothenburg Protocol revision process.</w:t>
      </w:r>
      <w:r>
        <w:t xml:space="preserve"> Key themes for discussion:</w:t>
      </w:r>
    </w:p>
    <w:p w14:paraId="64B69ED6" w14:textId="77777777" w:rsidR="00EF4CD3" w:rsidRDefault="00FB2E74">
      <w:pPr>
        <w:pStyle w:val="ListParagraph"/>
        <w:numPr>
          <w:ilvl w:val="0"/>
          <w:numId w:val="1"/>
        </w:numPr>
      </w:pPr>
      <w:r>
        <w:t>Possible scope of future provisions and necessary tasks where TFRN can help</w:t>
      </w:r>
    </w:p>
    <w:p w14:paraId="4CF8576D" w14:textId="77777777" w:rsidR="00EF4CD3" w:rsidRDefault="00FB2E74">
      <w:pPr>
        <w:pStyle w:val="ListParagraph"/>
        <w:numPr>
          <w:ilvl w:val="0"/>
          <w:numId w:val="1"/>
        </w:numPr>
      </w:pPr>
      <w:r>
        <w:t>Relationship between possible advisory and mandatory actions related to ammonia (Ammonia Guidance Document, Framework Code, Annex IX, National Ammonia Codes, National Nitrogen Budgets).</w:t>
      </w:r>
    </w:p>
    <w:p w14:paraId="5915A89F" w14:textId="1BE47C46" w:rsidR="00D2253F" w:rsidRDefault="00FB2E74" w:rsidP="00D2253F">
      <w:pPr>
        <w:pStyle w:val="ListParagraph"/>
        <w:numPr>
          <w:ilvl w:val="0"/>
          <w:numId w:val="1"/>
        </w:numPr>
      </w:pPr>
      <w:r>
        <w:t>How can a perspective on the circular economy and wider economic benefits help mobilize action on ammonia mitigation in the context of the wider N cycle.</w:t>
      </w:r>
    </w:p>
    <w:p w14:paraId="0DB33DC0" w14:textId="77777777" w:rsidR="00B70F0B" w:rsidRDefault="00B70F0B">
      <w:pPr>
        <w:rPr>
          <w:sz w:val="28"/>
          <w:szCs w:val="28"/>
        </w:rPr>
      </w:pPr>
    </w:p>
    <w:p w14:paraId="79A6DF55" w14:textId="70F1069E" w:rsidR="00EF4CD3" w:rsidRDefault="00FB2E7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4364D">
        <w:rPr>
          <w:sz w:val="28"/>
          <w:szCs w:val="28"/>
        </w:rPr>
        <w:t>1</w:t>
      </w:r>
      <w:r>
        <w:rPr>
          <w:sz w:val="28"/>
          <w:szCs w:val="28"/>
        </w:rPr>
        <w:t xml:space="preserve">0 CEST.  </w:t>
      </w:r>
      <w:r>
        <w:rPr>
          <w:b/>
          <w:bCs/>
          <w:sz w:val="28"/>
          <w:szCs w:val="28"/>
        </w:rPr>
        <w:t>Session 2: Updating guidance on ammonia mitigation and information on costs and benefits.</w:t>
      </w:r>
    </w:p>
    <w:p w14:paraId="11D2AB67" w14:textId="64B72915" w:rsidR="00EF4CD3" w:rsidRDefault="00FB2E74">
      <w:r>
        <w:t>15</w:t>
      </w:r>
      <w:r w:rsidR="00EA45DD">
        <w:t>1</w:t>
      </w:r>
      <w:r>
        <w:t>0-15</w:t>
      </w:r>
      <w:r w:rsidR="00EA45DD">
        <w:t>1</w:t>
      </w:r>
      <w:r>
        <w:t>5. Role and opportunities for the UNECE Ammonia Guidance Document (</w:t>
      </w:r>
      <w:r>
        <w:rPr>
          <w:b/>
          <w:bCs/>
        </w:rPr>
        <w:t>Shabtai Bittman</w:t>
      </w:r>
      <w:r>
        <w:t xml:space="preserve">, Co-chair of TFRN Expert Panel on Mitigation of Agricultural Nitrogen, EPMAN, and Agriculture Canada).  </w:t>
      </w:r>
    </w:p>
    <w:p w14:paraId="761BFD1C" w14:textId="77777777" w:rsidR="00D910BD" w:rsidRDefault="00D910BD"/>
    <w:p w14:paraId="5A065B11" w14:textId="7A464D9A" w:rsidR="00EF4CD3" w:rsidRDefault="00FB2E74">
      <w:r>
        <w:t>15</w:t>
      </w:r>
      <w:r w:rsidR="004B312D">
        <w:t>1</w:t>
      </w:r>
      <w:r>
        <w:t>5-15</w:t>
      </w:r>
      <w:r w:rsidR="009355CA">
        <w:t>25</w:t>
      </w:r>
      <w:r>
        <w:t>. Status update on revising the UNECE Ammonia Guidance Document including report of the Brussels Workshop (</w:t>
      </w:r>
      <w:r>
        <w:rPr>
          <w:b/>
          <w:bCs/>
        </w:rPr>
        <w:t>Alberto Sanz and Rasmus Einarsson</w:t>
      </w:r>
      <w:r>
        <w:t>).</w:t>
      </w:r>
    </w:p>
    <w:p w14:paraId="40E09469" w14:textId="714F51BF" w:rsidR="00EF4CD3" w:rsidRDefault="00FB2E74">
      <w:r>
        <w:t>15</w:t>
      </w:r>
      <w:r w:rsidR="009837BE">
        <w:t>25</w:t>
      </w:r>
      <w:r>
        <w:t>-15</w:t>
      </w:r>
      <w:r w:rsidR="009837BE">
        <w:t>35</w:t>
      </w:r>
      <w:r>
        <w:t xml:space="preserve">. </w:t>
      </w:r>
      <w:r>
        <w:rPr>
          <w:b/>
          <w:bCs/>
        </w:rPr>
        <w:t>General discussion on status and actions for revising the Ammonia Guidance Document</w:t>
      </w:r>
      <w:r w:rsidR="00B21993">
        <w:rPr>
          <w:b/>
          <w:bCs/>
        </w:rPr>
        <w:t xml:space="preserve"> (Chair: Mark Sutton).</w:t>
      </w:r>
    </w:p>
    <w:p w14:paraId="02AA55F1" w14:textId="26109084" w:rsidR="00EF4CD3" w:rsidRDefault="00FB2E74">
      <w:r>
        <w:t>15</w:t>
      </w:r>
      <w:r w:rsidR="009837BE">
        <w:t>35</w:t>
      </w:r>
      <w:r>
        <w:t>-1600. Tea/Coffee break.</w:t>
      </w:r>
    </w:p>
    <w:p w14:paraId="5BAFB133" w14:textId="77777777" w:rsidR="00EF4CD3" w:rsidRDefault="00FB2E74">
      <w:r>
        <w:t>1600-1610.  Synthesizing information on key measures, costs and economic benefits of ammonia mitigation (</w:t>
      </w:r>
      <w:r>
        <w:rPr>
          <w:b/>
          <w:bCs/>
        </w:rPr>
        <w:t>Barbara Amon</w:t>
      </w:r>
      <w:r>
        <w:t>, co-chair EPMAN, Leibniz-Institut für Agrartechnik und Bioökonomie, ATB, Germany).</w:t>
      </w:r>
    </w:p>
    <w:p w14:paraId="7E2DE9A3" w14:textId="2D8791F2" w:rsidR="00EF4CD3" w:rsidRDefault="00FB2E74">
      <w:r>
        <w:t>1610-162</w:t>
      </w:r>
      <w:r w:rsidR="00C4078C">
        <w:t>0</w:t>
      </w:r>
      <w:r>
        <w:t>. Principles of calculating the farm costs and benefits of ammonia mitigation. Case studies. (</w:t>
      </w:r>
      <w:r>
        <w:rPr>
          <w:b/>
          <w:bCs/>
        </w:rPr>
        <w:t>Helmut Döhler</w:t>
      </w:r>
      <w:r>
        <w:t>, Döhler Agrar).</w:t>
      </w:r>
    </w:p>
    <w:p w14:paraId="42690993" w14:textId="043B69DC" w:rsidR="00EF4CD3" w:rsidRDefault="00FB2E74" w:rsidP="001B4103">
      <w:r>
        <w:t xml:space="preserve">1625-1640. </w:t>
      </w:r>
      <w:r w:rsidR="001B4103">
        <w:t>Ammonia mitigation - Measures and Cost Calculations for Danish Livestock Farms. Cheap Options and Co-benefits?</w:t>
      </w:r>
      <w:r>
        <w:t xml:space="preserve"> (</w:t>
      </w:r>
      <w:r>
        <w:rPr>
          <w:b/>
          <w:bCs/>
        </w:rPr>
        <w:t>Brian Jacobsen</w:t>
      </w:r>
      <w:r>
        <w:t xml:space="preserve">, University of Copenhagen and </w:t>
      </w:r>
      <w:r>
        <w:rPr>
          <w:b/>
          <w:bCs/>
        </w:rPr>
        <w:t>Peter Kai</w:t>
      </w:r>
      <w:r>
        <w:t>, Aarhus</w:t>
      </w:r>
      <w:r w:rsidR="00DF189C">
        <w:t xml:space="preserve"> University</w:t>
      </w:r>
      <w:r w:rsidR="000960E6">
        <w:t>, Denmark</w:t>
      </w:r>
      <w:r>
        <w:t>)</w:t>
      </w:r>
    </w:p>
    <w:p w14:paraId="52A133E1" w14:textId="10A41002" w:rsidR="00EF4CD3" w:rsidRDefault="00FB2E74">
      <w:r>
        <w:t>1640-1650. A farm accounting perspective to reducing ammonia emissions. Making the business case for investment (</w:t>
      </w:r>
      <w:r>
        <w:rPr>
          <w:b/>
          <w:bCs/>
        </w:rPr>
        <w:t>Jack Blakiston Houston</w:t>
      </w:r>
      <w:r>
        <w:t xml:space="preserve">, BH Estates). </w:t>
      </w:r>
    </w:p>
    <w:p w14:paraId="0D5012A9" w14:textId="176CD0E0" w:rsidR="00EF4CD3" w:rsidRDefault="00FB2E74">
      <w:r>
        <w:t>1650-17</w:t>
      </w:r>
      <w:r w:rsidR="00925593">
        <w:t>2</w:t>
      </w:r>
      <w:r>
        <w:t>0. General discussion on ammonia mitigation costs and benefits.  Low-hanging fruit and the need for investment. Key themes for discussion:</w:t>
      </w:r>
    </w:p>
    <w:p w14:paraId="53E8A1A7" w14:textId="77777777" w:rsidR="00EF4CD3" w:rsidRDefault="00FB2E74">
      <w:pPr>
        <w:pStyle w:val="ListParagraph"/>
        <w:numPr>
          <w:ilvl w:val="0"/>
          <w:numId w:val="2"/>
        </w:numPr>
      </w:pPr>
      <w:r>
        <w:t>How should we put a price on the benefits through nitrogen savings?</w:t>
      </w:r>
    </w:p>
    <w:p w14:paraId="1E8E6FB8" w14:textId="77777777" w:rsidR="00EF4CD3" w:rsidRDefault="00FB2E74">
      <w:pPr>
        <w:pStyle w:val="ListParagraph"/>
        <w:numPr>
          <w:ilvl w:val="0"/>
          <w:numId w:val="2"/>
        </w:numPr>
      </w:pPr>
      <w:r>
        <w:t>How can we build confidence to support mitigation investments by farmers?</w:t>
      </w:r>
    </w:p>
    <w:p w14:paraId="59609679" w14:textId="77777777" w:rsidR="00EF4CD3" w:rsidRDefault="00FB2E74">
      <w:pPr>
        <w:pStyle w:val="ListParagraph"/>
        <w:numPr>
          <w:ilvl w:val="0"/>
          <w:numId w:val="2"/>
        </w:numPr>
      </w:pPr>
      <w:r>
        <w:t>Which measures can save farmers money and which ones can only be justified by their environmental benefits?</w:t>
      </w:r>
    </w:p>
    <w:p w14:paraId="69797560" w14:textId="77777777" w:rsidR="00EF4CD3" w:rsidRDefault="00FB2E74">
      <w:pPr>
        <w:pStyle w:val="ListParagraph"/>
        <w:numPr>
          <w:ilvl w:val="0"/>
          <w:numId w:val="2"/>
        </w:numPr>
      </w:pPr>
      <w:r>
        <w:t>What are the further evidence needs of the Parties?</w:t>
      </w:r>
    </w:p>
    <w:p w14:paraId="7398C069" w14:textId="356EE0B0" w:rsidR="00EF4CD3" w:rsidRDefault="00FB2E74">
      <w:r>
        <w:t>17</w:t>
      </w:r>
      <w:r w:rsidR="00925593">
        <w:t>2</w:t>
      </w:r>
      <w:r>
        <w:t>0-172</w:t>
      </w:r>
      <w:r w:rsidR="00925593">
        <w:t>5</w:t>
      </w:r>
      <w:r>
        <w:t>. Reaction: Opportunities for refining regional assessment of costs and benefits through the GAINS model (</w:t>
      </w:r>
      <w:r>
        <w:rPr>
          <w:b/>
          <w:bCs/>
        </w:rPr>
        <w:t>Wilfried Winiwarter</w:t>
      </w:r>
      <w:r>
        <w:t xml:space="preserve">, CIAM). </w:t>
      </w:r>
    </w:p>
    <w:p w14:paraId="461A627F" w14:textId="17625A1F" w:rsidR="00EF4CD3" w:rsidRDefault="00FB2E74">
      <w:r>
        <w:t>172</w:t>
      </w:r>
      <w:r w:rsidR="00925593">
        <w:t>5</w:t>
      </w:r>
      <w:r>
        <w:t>-1730. Summary of key messages of day 1 (</w:t>
      </w:r>
      <w:r>
        <w:rPr>
          <w:b/>
          <w:bCs/>
        </w:rPr>
        <w:t>Mark Sutton</w:t>
      </w:r>
      <w:r>
        <w:t>, Co-chair TFRN, UKCEH).</w:t>
      </w:r>
    </w:p>
    <w:p w14:paraId="7D4180C5" w14:textId="77777777" w:rsidR="00EF4CD3" w:rsidRDefault="00EF4CD3"/>
    <w:p w14:paraId="54F5EF37" w14:textId="1DC2F7E3" w:rsidR="00EF4CD3" w:rsidRDefault="00FB2E74">
      <w:r>
        <w:t xml:space="preserve">1900. Joint dinner to be arranged </w:t>
      </w:r>
      <w:r w:rsidR="00B70F0B">
        <w:t>by</w:t>
      </w:r>
      <w:r>
        <w:t xml:space="preserve"> participants in person.</w:t>
      </w:r>
    </w:p>
    <w:p w14:paraId="5C314529" w14:textId="77777777" w:rsidR="00845AF7" w:rsidRDefault="00845AF7"/>
    <w:p w14:paraId="79E6EF50" w14:textId="77777777" w:rsidR="00EF4CD3" w:rsidRDefault="00EF4CD3"/>
    <w:p w14:paraId="5C46F977" w14:textId="77777777" w:rsidR="00925593" w:rsidRDefault="00925593"/>
    <w:p w14:paraId="04F55C56" w14:textId="77777777" w:rsidR="00845AF7" w:rsidRDefault="00845AF7"/>
    <w:p w14:paraId="4781D989" w14:textId="77777777" w:rsidR="00A45F3D" w:rsidRDefault="00A45F3D"/>
    <w:p w14:paraId="57F3113F" w14:textId="77777777" w:rsidR="009B6917" w:rsidRDefault="009B6917">
      <w:pPr>
        <w:rPr>
          <w:b/>
          <w:bCs/>
        </w:rPr>
      </w:pPr>
    </w:p>
    <w:p w14:paraId="2B77C434" w14:textId="5C7D8F66" w:rsidR="00EF4CD3" w:rsidRDefault="00FB2E74">
      <w:pPr>
        <w:rPr>
          <w:b/>
          <w:bCs/>
        </w:rPr>
      </w:pPr>
      <w:r>
        <w:rPr>
          <w:b/>
          <w:bCs/>
        </w:rPr>
        <w:t>Friday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October.</w:t>
      </w:r>
    </w:p>
    <w:p w14:paraId="0DB8D138" w14:textId="0288D608" w:rsidR="00AC6979" w:rsidRDefault="008D668A">
      <w:r>
        <w:rPr>
          <w:sz w:val="28"/>
          <w:szCs w:val="28"/>
        </w:rPr>
        <w:t xml:space="preserve">0900 CEST. </w:t>
      </w:r>
      <w:r w:rsidR="00AC6979">
        <w:rPr>
          <w:sz w:val="28"/>
          <w:szCs w:val="28"/>
        </w:rPr>
        <w:t xml:space="preserve">Opening  </w:t>
      </w:r>
      <w:r w:rsidR="00AC6979">
        <w:t>(</w:t>
      </w:r>
      <w:r w:rsidR="00AC6979">
        <w:rPr>
          <w:b/>
          <w:bCs/>
        </w:rPr>
        <w:t>Mark Sutton</w:t>
      </w:r>
      <w:r w:rsidR="00AC6979">
        <w:t>, Co-chair TFRN, UKCEH).</w:t>
      </w:r>
    </w:p>
    <w:p w14:paraId="475B467F" w14:textId="5C2A7473" w:rsidR="003F32D4" w:rsidRDefault="00FF34C3">
      <w:pPr>
        <w:rPr>
          <w:sz w:val="28"/>
          <w:szCs w:val="28"/>
        </w:rPr>
      </w:pPr>
      <w:r>
        <w:t xml:space="preserve">0900-0910 </w:t>
      </w:r>
      <w:r w:rsidR="003F32D4">
        <w:t>Re-</w:t>
      </w:r>
      <w:r w:rsidR="00604978">
        <w:t>cap</w:t>
      </w:r>
      <w:r w:rsidR="003F32D4">
        <w:t xml:space="preserve"> of key messages from Thursday</w:t>
      </w:r>
      <w:r w:rsidR="00604978">
        <w:t xml:space="preserve">? </w:t>
      </w:r>
      <w:r w:rsidR="00390247">
        <w:t>Flexibility to adapt agenda.</w:t>
      </w:r>
    </w:p>
    <w:p w14:paraId="5A92C753" w14:textId="7284C146" w:rsidR="00E112E6" w:rsidRDefault="00E112E6" w:rsidP="00E112E6">
      <w:r>
        <w:t>09</w:t>
      </w:r>
      <w:r w:rsidR="00D62384">
        <w:t>10</w:t>
      </w:r>
      <w:r>
        <w:t>-</w:t>
      </w:r>
      <w:r w:rsidR="00D62384">
        <w:t>0920</w:t>
      </w:r>
      <w:r>
        <w:t>. State of the ‘National Ammonia Codes’ required under Annex IX (</w:t>
      </w:r>
      <w:r>
        <w:rPr>
          <w:b/>
          <w:bCs/>
        </w:rPr>
        <w:t>Claudia Marques dos Santos</w:t>
      </w:r>
      <w:r>
        <w:t>, Co-chair TFRN, Portugal)</w:t>
      </w:r>
      <w:r w:rsidR="00AA650C">
        <w:t xml:space="preserve"> + short </w:t>
      </w:r>
      <w:r w:rsidR="00777FCE">
        <w:t>report from the</w:t>
      </w:r>
      <w:r w:rsidR="00AA650C">
        <w:t xml:space="preserve"> </w:t>
      </w:r>
      <w:r w:rsidR="00307DB9">
        <w:t xml:space="preserve">UNECE </w:t>
      </w:r>
      <w:r w:rsidR="00AA650C">
        <w:t>TFTEI</w:t>
      </w:r>
      <w:r w:rsidR="00307DB9">
        <w:t xml:space="preserve"> </w:t>
      </w:r>
      <w:r w:rsidR="00307DB9">
        <w:t>T</w:t>
      </w:r>
      <w:r w:rsidR="00307DB9" w:rsidRPr="00307DB9">
        <w:t>ask Force on Techno-Economic Issues</w:t>
      </w:r>
      <w:r w:rsidR="00307DB9">
        <w:t xml:space="preserve"> </w:t>
      </w:r>
      <w:r w:rsidR="00777FCE">
        <w:t>meeting</w:t>
      </w:r>
      <w:r>
        <w:t>.</w:t>
      </w:r>
    </w:p>
    <w:p w14:paraId="2CAEC759" w14:textId="7CACF411" w:rsidR="00EF4CD3" w:rsidRDefault="00FB2E7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09</w:t>
      </w:r>
      <w:r w:rsidR="00925593">
        <w:rPr>
          <w:sz w:val="28"/>
          <w:szCs w:val="28"/>
        </w:rPr>
        <w:t>2</w:t>
      </w:r>
      <w:r>
        <w:rPr>
          <w:sz w:val="28"/>
          <w:szCs w:val="28"/>
        </w:rPr>
        <w:t xml:space="preserve">0 CEST.  </w:t>
      </w:r>
      <w:r>
        <w:rPr>
          <w:b/>
          <w:bCs/>
          <w:sz w:val="28"/>
          <w:szCs w:val="28"/>
        </w:rPr>
        <w:t xml:space="preserve">Session 3: National case studies. Evidence from Parties on ammonia and nitrogen mitigation strategies. </w:t>
      </w:r>
    </w:p>
    <w:p w14:paraId="6BD3D010" w14:textId="4F117CE2" w:rsidR="00EF4CD3" w:rsidRDefault="00FB2E74">
      <w:r>
        <w:t>092</w:t>
      </w:r>
      <w:r w:rsidR="00D05A64">
        <w:t>0</w:t>
      </w:r>
      <w:r>
        <w:t>-0935. Building the case for action: reducing ammonia emissions in the context of improving the performance of Spanish farms. (</w:t>
      </w:r>
      <w:r>
        <w:rPr>
          <w:b/>
          <w:bCs/>
        </w:rPr>
        <w:t>Odón Sobrino</w:t>
      </w:r>
      <w:r>
        <w:t>, Ministerio de agricultura pesca y alimentacion</w:t>
      </w:r>
      <w:r w:rsidR="005B4815">
        <w:t>, Spain</w:t>
      </w:r>
      <w:r>
        <w:t>).</w:t>
      </w:r>
    </w:p>
    <w:p w14:paraId="44B2A59F" w14:textId="53C619F5" w:rsidR="000F35B9" w:rsidRDefault="000F35B9" w:rsidP="000F35B9">
      <w:r>
        <w:t>09</w:t>
      </w:r>
      <w:r w:rsidR="00A167B1">
        <w:t>35</w:t>
      </w:r>
      <w:r>
        <w:t>-09</w:t>
      </w:r>
      <w:r w:rsidR="00A167B1">
        <w:t>50</w:t>
      </w:r>
      <w:r>
        <w:t xml:space="preserve">.  Danish experience on N mitigation and ammonia reductions from 1990 to the present. Progress and </w:t>
      </w:r>
      <w:r w:rsidR="00C83BF6">
        <w:t xml:space="preserve">mitigation </w:t>
      </w:r>
      <w:r>
        <w:t xml:space="preserve">lessons learned - from BAT to critical limits and </w:t>
      </w:r>
      <w:r w:rsidR="00D45407">
        <w:t>n</w:t>
      </w:r>
      <w:r>
        <w:t>ature protection (</w:t>
      </w:r>
      <w:r>
        <w:rPr>
          <w:b/>
          <w:bCs/>
        </w:rPr>
        <w:t>Nick Hutchings</w:t>
      </w:r>
      <w:r w:rsidRPr="00AA6EC0">
        <w:rPr>
          <w:b/>
          <w:bCs/>
        </w:rPr>
        <w:t>, Johanna Pedersen</w:t>
      </w:r>
      <w:r w:rsidR="005F3FEB">
        <w:rPr>
          <w:b/>
          <w:bCs/>
        </w:rPr>
        <w:t xml:space="preserve">, </w:t>
      </w:r>
      <w:r w:rsidR="005F3FEB" w:rsidRPr="00AA6EC0">
        <w:rPr>
          <w:b/>
          <w:bCs/>
        </w:rPr>
        <w:t>Jesper Kamp</w:t>
      </w:r>
      <w:r w:rsidRPr="00AA6EC0">
        <w:rPr>
          <w:b/>
          <w:bCs/>
        </w:rPr>
        <w:t xml:space="preserve">, </w:t>
      </w:r>
      <w:r w:rsidR="00C83BF6" w:rsidRPr="00551BA2">
        <w:rPr>
          <w:b/>
          <w:bCs/>
        </w:rPr>
        <w:t>Brian Jacobsen</w:t>
      </w:r>
      <w:r w:rsidR="00C83BF6" w:rsidRPr="00AA6EC0">
        <w:rPr>
          <w:b/>
          <w:bCs/>
        </w:rPr>
        <w:t xml:space="preserve">, </w:t>
      </w:r>
      <w:r w:rsidRPr="00AA6EC0">
        <w:rPr>
          <w:b/>
          <w:bCs/>
        </w:rPr>
        <w:t>Peter Kai</w:t>
      </w:r>
      <w:r w:rsidR="00C83BF6">
        <w:rPr>
          <w:b/>
          <w:bCs/>
        </w:rPr>
        <w:t xml:space="preserve">, </w:t>
      </w:r>
      <w:r w:rsidR="00C83BF6" w:rsidRPr="00551BA2">
        <w:rPr>
          <w:b/>
          <w:bCs/>
        </w:rPr>
        <w:t>Jesper Let Bak</w:t>
      </w:r>
      <w:r>
        <w:t xml:space="preserve"> et al.</w:t>
      </w:r>
      <w:r w:rsidR="00D45407">
        <w:t>, Aarhus University, Denmark</w:t>
      </w:r>
      <w:r>
        <w:t xml:space="preserve">) </w:t>
      </w:r>
    </w:p>
    <w:p w14:paraId="37E1E036" w14:textId="30956B01" w:rsidR="00EF4CD3" w:rsidRDefault="00FB2E74">
      <w:r>
        <w:t>09</w:t>
      </w:r>
      <w:r w:rsidR="007B787D">
        <w:t>50</w:t>
      </w:r>
      <w:r>
        <w:t>-</w:t>
      </w:r>
      <w:r w:rsidR="007B787D">
        <w:t>1000</w:t>
      </w:r>
      <w:r>
        <w:t>.  Key messages from the UK House of Lords Nitrogen Inquiry. (</w:t>
      </w:r>
      <w:r w:rsidR="00393F61">
        <w:rPr>
          <w:b/>
          <w:bCs/>
        </w:rPr>
        <w:t>Ulli Dragosits</w:t>
      </w:r>
      <w:r w:rsidR="00B600E2">
        <w:rPr>
          <w:b/>
          <w:bCs/>
        </w:rPr>
        <w:t xml:space="preserve"> and Kevin Hicks</w:t>
      </w:r>
      <w:r>
        <w:t xml:space="preserve">, </w:t>
      </w:r>
      <w:r w:rsidR="008049CE">
        <w:t>UKCEH,  and SEI-York</w:t>
      </w:r>
      <w:r w:rsidR="00F90774">
        <w:t>, UK</w:t>
      </w:r>
      <w:r>
        <w:t xml:space="preserve">).  </w:t>
      </w:r>
    </w:p>
    <w:p w14:paraId="6F634EC2" w14:textId="3D860970" w:rsidR="00EF4CD3" w:rsidRDefault="007B787D">
      <w:r>
        <w:t>1000</w:t>
      </w:r>
      <w:r w:rsidR="00FB2E74">
        <w:t>-</w:t>
      </w:r>
      <w:r>
        <w:t>1020</w:t>
      </w:r>
      <w:r w:rsidR="00FB2E74">
        <w:t xml:space="preserve">. </w:t>
      </w:r>
      <w:r w:rsidR="00FB2E74">
        <w:rPr>
          <w:b/>
          <w:bCs/>
        </w:rPr>
        <w:t>General discussion on future opportunities for national experience sharing on ammonia and nitrogen management</w:t>
      </w:r>
      <w:r w:rsidR="00FB2E74">
        <w:t>.</w:t>
      </w:r>
    </w:p>
    <w:p w14:paraId="2DDC65B0" w14:textId="77777777" w:rsidR="009B6917" w:rsidRDefault="009B6917">
      <w:pPr>
        <w:rPr>
          <w:sz w:val="28"/>
          <w:szCs w:val="28"/>
          <w:lang w:val="fr-FR"/>
        </w:rPr>
      </w:pPr>
    </w:p>
    <w:p w14:paraId="2B56FED3" w14:textId="4B62F1A0" w:rsidR="00EF4CD3" w:rsidRDefault="00276C48">
      <w:pPr>
        <w:rPr>
          <w:b/>
          <w:bCs/>
          <w:sz w:val="28"/>
          <w:szCs w:val="28"/>
        </w:rPr>
      </w:pPr>
      <w:r>
        <w:rPr>
          <w:sz w:val="28"/>
          <w:szCs w:val="28"/>
          <w:lang w:val="fr-FR"/>
        </w:rPr>
        <w:t>1020</w:t>
      </w:r>
      <w:r w:rsidR="00FB2E74" w:rsidRPr="00F23F17">
        <w:rPr>
          <w:sz w:val="28"/>
          <w:szCs w:val="28"/>
          <w:lang w:val="fr-FR"/>
        </w:rPr>
        <w:t xml:space="preserve"> CEST.  </w:t>
      </w:r>
      <w:r w:rsidR="00FB2E74" w:rsidRPr="00F23F17">
        <w:rPr>
          <w:b/>
          <w:bCs/>
          <w:sz w:val="28"/>
          <w:szCs w:val="28"/>
          <w:lang w:val="fr-FR"/>
        </w:rPr>
        <w:t xml:space="preserve">Session 4: National Nitrogen Budgets. </w:t>
      </w:r>
      <w:r w:rsidR="00FB2E74">
        <w:rPr>
          <w:b/>
          <w:bCs/>
          <w:sz w:val="28"/>
          <w:szCs w:val="28"/>
        </w:rPr>
        <w:t>How they can help, call for evidence and state of progress.</w:t>
      </w:r>
    </w:p>
    <w:p w14:paraId="7735365D" w14:textId="1D3073C2" w:rsidR="0017348C" w:rsidRDefault="0017348C" w:rsidP="0017348C">
      <w:r>
        <w:t>10</w:t>
      </w:r>
      <w:r w:rsidR="00910AA3">
        <w:t>20</w:t>
      </w:r>
      <w:r>
        <w:t>-10</w:t>
      </w:r>
      <w:r w:rsidR="00910AA3">
        <w:t>30</w:t>
      </w:r>
      <w:r>
        <w:t>.  Status update of the UNECE Guidance Document on National Nitrogen Budgets and call for data (</w:t>
      </w:r>
      <w:r>
        <w:rPr>
          <w:b/>
          <w:bCs/>
        </w:rPr>
        <w:t>Wilfried Winiwarter</w:t>
      </w:r>
      <w:r>
        <w:t>, Co-chair EPNB, CIAM, Austria).</w:t>
      </w:r>
    </w:p>
    <w:p w14:paraId="437AB354" w14:textId="4EA97C3C" w:rsidR="00EF4CD3" w:rsidRDefault="00EB2B0C">
      <w:r>
        <w:t>10</w:t>
      </w:r>
      <w:r w:rsidR="00910AA3">
        <w:t>30</w:t>
      </w:r>
      <w:r w:rsidR="00FB2E74">
        <w:t>-10</w:t>
      </w:r>
      <w:r w:rsidR="00910AA3">
        <w:t>4</w:t>
      </w:r>
      <w:r>
        <w:t>5</w:t>
      </w:r>
      <w:r w:rsidR="00FB2E74">
        <w:t>.  How can national nitrogen budgets help? Case studies of progress to date</w:t>
      </w:r>
      <w:r w:rsidR="00011E94">
        <w:t xml:space="preserve">, </w:t>
      </w:r>
      <w:r w:rsidR="00554F34">
        <w:t>highlighted by the German experience</w:t>
      </w:r>
      <w:r w:rsidR="00FB2E74">
        <w:t>. (</w:t>
      </w:r>
      <w:r w:rsidR="00FB2E74">
        <w:rPr>
          <w:b/>
          <w:bCs/>
        </w:rPr>
        <w:t>Marcus Geupel</w:t>
      </w:r>
      <w:r w:rsidR="00FB2E74">
        <w:t xml:space="preserve">, Co-chair, TFRN Expert Panel on National Nitrogen Budgets, EPNB, Umweltbundesamt, Germany). </w:t>
      </w:r>
    </w:p>
    <w:p w14:paraId="56DD8218" w14:textId="131E7202" w:rsidR="00EF4CD3" w:rsidRDefault="00FB2E74">
      <w:r>
        <w:t>10</w:t>
      </w:r>
      <w:r w:rsidR="001A2147">
        <w:t>45</w:t>
      </w:r>
      <w:r>
        <w:t>-1</w:t>
      </w:r>
      <w:r w:rsidR="001B7C64">
        <w:t>100</w:t>
      </w:r>
      <w:r>
        <w:t xml:space="preserve">. </w:t>
      </w:r>
      <w:r>
        <w:rPr>
          <w:b/>
          <w:bCs/>
        </w:rPr>
        <w:t>General discussion on progressing action on national nitrogen budgets, including in the context of Gothenburg Protocol revision.</w:t>
      </w:r>
    </w:p>
    <w:p w14:paraId="4704208F" w14:textId="77777777" w:rsidR="00F11440" w:rsidRDefault="00F11440"/>
    <w:p w14:paraId="0AD4B5DA" w14:textId="535AAB64" w:rsidR="00EF4CD3" w:rsidRDefault="00FB2E74">
      <w:r>
        <w:t>1</w:t>
      </w:r>
      <w:r w:rsidR="001B7C64">
        <w:t>100</w:t>
      </w:r>
      <w:r>
        <w:t>-11</w:t>
      </w:r>
      <w:r w:rsidR="00C460AB">
        <w:t>3</w:t>
      </w:r>
      <w:r w:rsidR="00097FA7">
        <w:t>0</w:t>
      </w:r>
      <w:r>
        <w:t xml:space="preserve">. Tea/Coffee break. </w:t>
      </w:r>
    </w:p>
    <w:p w14:paraId="1D512B96" w14:textId="77777777" w:rsidR="00EF4CD3" w:rsidRDefault="00EF4CD3"/>
    <w:p w14:paraId="552FB507" w14:textId="77777777" w:rsidR="009B6917" w:rsidRDefault="009B6917">
      <w:pPr>
        <w:rPr>
          <w:sz w:val="28"/>
          <w:szCs w:val="28"/>
        </w:rPr>
      </w:pPr>
    </w:p>
    <w:p w14:paraId="4E01E698" w14:textId="224BE8D3" w:rsidR="00EF4CD3" w:rsidRDefault="00FB2E7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11</w:t>
      </w:r>
      <w:r w:rsidR="00A00EBE">
        <w:rPr>
          <w:sz w:val="28"/>
          <w:szCs w:val="28"/>
        </w:rPr>
        <w:t>30</w:t>
      </w:r>
      <w:r>
        <w:rPr>
          <w:sz w:val="28"/>
          <w:szCs w:val="28"/>
        </w:rPr>
        <w:t xml:space="preserve"> CEST.  </w:t>
      </w:r>
      <w:r>
        <w:rPr>
          <w:b/>
          <w:bCs/>
          <w:sz w:val="28"/>
          <w:szCs w:val="28"/>
        </w:rPr>
        <w:t>Session 5: Nitrogen, Food and Food waste. How to develop opportunities for non-technical approaches to reduce nitrogen pollution with multiple co-benefits.</w:t>
      </w:r>
    </w:p>
    <w:p w14:paraId="3CB321CA" w14:textId="4E801AC8" w:rsidR="00EF4CD3" w:rsidRDefault="00FB2E74">
      <w:r>
        <w:t>11</w:t>
      </w:r>
      <w:r w:rsidR="00A00EBE">
        <w:t>30</w:t>
      </w:r>
      <w:r>
        <w:t>-11</w:t>
      </w:r>
      <w:r w:rsidR="00A00EBE">
        <w:t>45</w:t>
      </w:r>
      <w:r>
        <w:t xml:space="preserve">. </w:t>
      </w:r>
      <w:r>
        <w:rPr>
          <w:b/>
          <w:bCs/>
        </w:rPr>
        <w:t>General discussion on how to progress action on sustainable diets, including in the context of Gothenburg Protocol revisions.</w:t>
      </w:r>
      <w:r>
        <w:t xml:space="preserve"> </w:t>
      </w:r>
    </w:p>
    <w:p w14:paraId="605F75A3" w14:textId="2F06DCE3" w:rsidR="00254EAB" w:rsidRPr="00033BC7" w:rsidRDefault="00033BC7" w:rsidP="00CF2D68">
      <w:pPr>
        <w:spacing w:after="0"/>
      </w:pPr>
      <w:r>
        <w:rPr>
          <w:lang w:val="en-IE"/>
        </w:rPr>
        <w:t>R</w:t>
      </w:r>
      <w:r w:rsidR="00254EAB" w:rsidRPr="00254EAB">
        <w:rPr>
          <w:lang w:val="en-IE"/>
        </w:rPr>
        <w:t>eflections of EPNF continuation and what implication this has on future EPNF work</w:t>
      </w:r>
      <w:r w:rsidR="00223170">
        <w:rPr>
          <w:lang w:val="en-IE"/>
        </w:rPr>
        <w:t xml:space="preserve"> (moderated by Till/Mark</w:t>
      </w:r>
      <w:r>
        <w:rPr>
          <w:lang w:val="en-IE"/>
        </w:rPr>
        <w:t>/</w:t>
      </w:r>
      <w:r w:rsidR="00223170">
        <w:rPr>
          <w:lang w:val="en-IE"/>
        </w:rPr>
        <w:t>Tommy)</w:t>
      </w:r>
      <w:r w:rsidR="00254EAB" w:rsidRPr="00254EAB">
        <w:rPr>
          <w:lang w:val="en-IE"/>
        </w:rPr>
        <w:t>.</w:t>
      </w:r>
    </w:p>
    <w:p w14:paraId="2555A780" w14:textId="0713677B" w:rsidR="00033BC7" w:rsidRDefault="00033BC7" w:rsidP="00CF2D68">
      <w:pPr>
        <w:numPr>
          <w:ilvl w:val="0"/>
          <w:numId w:val="6"/>
        </w:numPr>
        <w:spacing w:after="0"/>
      </w:pPr>
      <w:r>
        <w:t>How can ‘sustainable diet’ be included in the Gothenburg Protocol revisions?</w:t>
      </w:r>
    </w:p>
    <w:p w14:paraId="20086B74" w14:textId="561487BA" w:rsidR="00A866A0" w:rsidRDefault="00033BC7" w:rsidP="009B6917">
      <w:pPr>
        <w:numPr>
          <w:ilvl w:val="0"/>
          <w:numId w:val="6"/>
        </w:numPr>
        <w:spacing w:after="0"/>
      </w:pPr>
      <w:r>
        <w:t>Do we need EPNF3 and if so what should be the content/mandate?</w:t>
      </w:r>
      <w:r w:rsidR="00CB3BFD">
        <w:t xml:space="preserve"> Finding champions!</w:t>
      </w:r>
    </w:p>
    <w:p w14:paraId="7D5188DA" w14:textId="77777777" w:rsidR="009B6917" w:rsidRPr="009B6917" w:rsidRDefault="009B6917" w:rsidP="009B6917">
      <w:pPr>
        <w:spacing w:after="0"/>
      </w:pPr>
    </w:p>
    <w:p w14:paraId="68BA4410" w14:textId="6FF1BB98" w:rsidR="00EF4CD3" w:rsidRDefault="00FB2E7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C460AB">
        <w:rPr>
          <w:sz w:val="28"/>
          <w:szCs w:val="28"/>
        </w:rPr>
        <w:t>145</w:t>
      </w:r>
      <w:r>
        <w:rPr>
          <w:sz w:val="28"/>
          <w:szCs w:val="28"/>
        </w:rPr>
        <w:t>-12</w:t>
      </w:r>
      <w:r w:rsidR="00CE5B44">
        <w:rPr>
          <w:sz w:val="28"/>
          <w:szCs w:val="28"/>
        </w:rPr>
        <w:t>5</w:t>
      </w:r>
      <w:r>
        <w:rPr>
          <w:sz w:val="28"/>
          <w:szCs w:val="28"/>
        </w:rPr>
        <w:t xml:space="preserve">0 </w:t>
      </w:r>
      <w:r>
        <w:rPr>
          <w:b/>
          <w:bCs/>
          <w:sz w:val="28"/>
          <w:szCs w:val="28"/>
        </w:rPr>
        <w:t>Session 6: Agreement on next steps</w:t>
      </w:r>
    </w:p>
    <w:p w14:paraId="4CD20D80" w14:textId="6B8B2F63" w:rsidR="00EF4CD3" w:rsidRDefault="00EB697E">
      <w:r>
        <w:t>11</w:t>
      </w:r>
      <w:r w:rsidR="0025549B">
        <w:t>45</w:t>
      </w:r>
      <w:r w:rsidR="00FB2E74">
        <w:t>-12</w:t>
      </w:r>
      <w:r w:rsidR="0025549B">
        <w:t>0</w:t>
      </w:r>
      <w:r w:rsidR="00FB2E74">
        <w:t>0.  Review of the TFRN work plan 2025-2026 (</w:t>
      </w:r>
      <w:r w:rsidR="00FB2E74">
        <w:rPr>
          <w:b/>
          <w:bCs/>
        </w:rPr>
        <w:t>Tommy Dalgaard</w:t>
      </w:r>
      <w:r w:rsidR="00FB2E74">
        <w:t xml:space="preserve">, </w:t>
      </w:r>
      <w:r w:rsidR="00FB2E74">
        <w:rPr>
          <w:b/>
          <w:bCs/>
        </w:rPr>
        <w:t>Mark Sutton</w:t>
      </w:r>
      <w:r w:rsidR="00FB2E74">
        <w:t xml:space="preserve">) </w:t>
      </w:r>
    </w:p>
    <w:p w14:paraId="315CD2B9" w14:textId="71C595E3" w:rsidR="00EF4CD3" w:rsidRDefault="00FB2E74">
      <w:pPr>
        <w:rPr>
          <w:b/>
          <w:bCs/>
        </w:rPr>
      </w:pPr>
      <w:r>
        <w:t>12</w:t>
      </w:r>
      <w:r w:rsidR="006C2152">
        <w:t>00</w:t>
      </w:r>
      <w:r>
        <w:t>-12</w:t>
      </w:r>
      <w:r w:rsidR="00747663">
        <w:t>3</w:t>
      </w:r>
      <w:r>
        <w:t xml:space="preserve">0. </w:t>
      </w:r>
      <w:r>
        <w:rPr>
          <w:b/>
          <w:bCs/>
        </w:rPr>
        <w:t>General discussion</w:t>
      </w:r>
      <w:r w:rsidR="00757361">
        <w:rPr>
          <w:b/>
          <w:bCs/>
        </w:rPr>
        <w:t xml:space="preserve"> </w:t>
      </w:r>
      <w:r>
        <w:rPr>
          <w:b/>
          <w:bCs/>
        </w:rPr>
        <w:t>on the TFRN work plan</w:t>
      </w:r>
      <w:r w:rsidR="00757361">
        <w:rPr>
          <w:b/>
          <w:bCs/>
        </w:rPr>
        <w:t xml:space="preserve"> item by item</w:t>
      </w:r>
      <w:r>
        <w:rPr>
          <w:b/>
          <w:bCs/>
        </w:rPr>
        <w:t>, especially in the context of Gothenburg Protocol revisions.</w:t>
      </w:r>
    </w:p>
    <w:p w14:paraId="510CDA46" w14:textId="77777777" w:rsidR="00EF4CD3" w:rsidRDefault="00FB2E74">
      <w:pPr>
        <w:rPr>
          <w:b/>
          <w:bCs/>
        </w:rPr>
      </w:pPr>
      <w:r>
        <w:rPr>
          <w:b/>
          <w:bCs/>
        </w:rPr>
        <w:t xml:space="preserve">Key points: </w:t>
      </w:r>
    </w:p>
    <w:p w14:paraId="751E8BD0" w14:textId="77777777" w:rsidR="00EF4CD3" w:rsidRDefault="00FB2E74">
      <w:pPr>
        <w:pStyle w:val="ListParagraph"/>
        <w:numPr>
          <w:ilvl w:val="0"/>
          <w:numId w:val="3"/>
        </w:numPr>
      </w:pPr>
      <w:r>
        <w:t>Making the case for action on ammonia and nitrogen. What needs more attention?</w:t>
      </w:r>
    </w:p>
    <w:p w14:paraId="2FE6A958" w14:textId="5FC2425A" w:rsidR="00EF4CD3" w:rsidRDefault="00FB2E74">
      <w:pPr>
        <w:pStyle w:val="ListParagraph"/>
        <w:numPr>
          <w:ilvl w:val="0"/>
          <w:numId w:val="3"/>
        </w:numPr>
      </w:pPr>
      <w:r>
        <w:t>What has yet to be completed from the 2024/25 work plan?</w:t>
      </w:r>
    </w:p>
    <w:p w14:paraId="6C9A7512" w14:textId="778E5AC1" w:rsidR="00FB2E74" w:rsidRDefault="00FB2E74">
      <w:pPr>
        <w:pStyle w:val="ListParagraph"/>
        <w:numPr>
          <w:ilvl w:val="0"/>
          <w:numId w:val="3"/>
        </w:numPr>
      </w:pPr>
      <w:r>
        <w:t>Timeline and responsibilities for TFRN items in the draft 2026/27 work plan.</w:t>
      </w:r>
    </w:p>
    <w:p w14:paraId="3EFB5555" w14:textId="03E112CA" w:rsidR="00EF4CD3" w:rsidRDefault="00FB2E74">
      <w:pPr>
        <w:pStyle w:val="ListParagraph"/>
        <w:numPr>
          <w:ilvl w:val="0"/>
          <w:numId w:val="3"/>
        </w:numPr>
      </w:pPr>
      <w:r>
        <w:t>How to mobilize investment in sustainable nitrogen management for farmers, environment and wider society.</w:t>
      </w:r>
    </w:p>
    <w:p w14:paraId="4B0578D7" w14:textId="77777777" w:rsidR="00EF4CD3" w:rsidRDefault="00FB2E74">
      <w:pPr>
        <w:pStyle w:val="ListParagraph"/>
        <w:numPr>
          <w:ilvl w:val="0"/>
          <w:numId w:val="3"/>
        </w:numPr>
      </w:pPr>
      <w:r>
        <w:t xml:space="preserve">How to mobilize investment in the work of TFRN. </w:t>
      </w:r>
    </w:p>
    <w:p w14:paraId="2BF9BD94" w14:textId="72C3BE05" w:rsidR="00EF4CD3" w:rsidRDefault="00FB2E74">
      <w:pPr>
        <w:rPr>
          <w:b/>
          <w:bCs/>
        </w:rPr>
      </w:pPr>
      <w:r>
        <w:rPr>
          <w:b/>
          <w:bCs/>
        </w:rPr>
        <w:t>12</w:t>
      </w:r>
      <w:r w:rsidR="00747663">
        <w:rPr>
          <w:b/>
          <w:bCs/>
        </w:rPr>
        <w:t>3</w:t>
      </w:r>
      <w:r>
        <w:rPr>
          <w:b/>
          <w:bCs/>
        </w:rPr>
        <w:t>0-12</w:t>
      </w:r>
      <w:r w:rsidR="00747663">
        <w:rPr>
          <w:b/>
          <w:bCs/>
        </w:rPr>
        <w:t>4</w:t>
      </w:r>
      <w:r>
        <w:rPr>
          <w:b/>
          <w:bCs/>
        </w:rPr>
        <w:t>0.  Closing comments from stakeholders.</w:t>
      </w:r>
    </w:p>
    <w:p w14:paraId="26EA98B4" w14:textId="2824ED74" w:rsidR="00EF4CD3" w:rsidRPr="00C93CA5" w:rsidRDefault="00FB2E74">
      <w:pPr>
        <w:pStyle w:val="ListParagraph"/>
        <w:numPr>
          <w:ilvl w:val="0"/>
          <w:numId w:val="4"/>
        </w:numPr>
      </w:pPr>
      <w:r w:rsidRPr="00C93CA5">
        <w:rPr>
          <w:b/>
          <w:bCs/>
        </w:rPr>
        <w:t>Anna Gran</w:t>
      </w:r>
      <w:r w:rsidR="00C93CA5">
        <w:t xml:space="preserve"> </w:t>
      </w:r>
      <w:r w:rsidR="00C93CA5" w:rsidRPr="00C93CA5">
        <w:rPr>
          <w:i/>
          <w:iCs/>
        </w:rPr>
        <w:t>et al.</w:t>
      </w:r>
      <w:r w:rsidRPr="00C93CA5">
        <w:t xml:space="preserve"> EU Presidency</w:t>
      </w:r>
      <w:r w:rsidR="00C93CA5" w:rsidRPr="00C93CA5">
        <w:t xml:space="preserve">, </w:t>
      </w:r>
      <w:r w:rsidR="00C93CA5">
        <w:t>, Ministry of Environment of Denmark</w:t>
      </w:r>
    </w:p>
    <w:p w14:paraId="10F1053D" w14:textId="5D9F2945" w:rsidR="00EF4CD3" w:rsidRPr="00007AC3" w:rsidRDefault="00FB2E74" w:rsidP="000C160D">
      <w:pPr>
        <w:pStyle w:val="ListParagraph"/>
        <w:numPr>
          <w:ilvl w:val="0"/>
          <w:numId w:val="4"/>
        </w:numPr>
        <w:rPr>
          <w:lang w:val="es-ES"/>
        </w:rPr>
      </w:pPr>
      <w:r w:rsidRPr="00007AC3">
        <w:rPr>
          <w:b/>
          <w:bCs/>
          <w:lang w:val="es-ES"/>
        </w:rPr>
        <w:t>Penny Dilara</w:t>
      </w:r>
      <w:r w:rsidRPr="00007AC3">
        <w:rPr>
          <w:lang w:val="es-ES"/>
        </w:rPr>
        <w:t>, European Commission</w:t>
      </w:r>
      <w:r w:rsidR="00007AC3" w:rsidRPr="00007AC3">
        <w:rPr>
          <w:lang w:val="es-ES"/>
        </w:rPr>
        <w:t xml:space="preserve"> (tbc</w:t>
      </w:r>
      <w:r w:rsidR="00007AC3">
        <w:rPr>
          <w:lang w:val="es-ES"/>
        </w:rPr>
        <w:t>)</w:t>
      </w:r>
      <w:r w:rsidR="000C160D" w:rsidRPr="00007AC3">
        <w:rPr>
          <w:lang w:val="es-ES"/>
        </w:rPr>
        <w:t xml:space="preserve">/ </w:t>
      </w:r>
      <w:r w:rsidR="000C160D" w:rsidRPr="00007AC3">
        <w:rPr>
          <w:b/>
          <w:bCs/>
          <w:lang w:val="es-ES"/>
        </w:rPr>
        <w:t>Dominique Pritula</w:t>
      </w:r>
      <w:r w:rsidR="000C160D" w:rsidRPr="00007AC3">
        <w:rPr>
          <w:lang w:val="es-ES"/>
        </w:rPr>
        <w:t>, EB Chair</w:t>
      </w:r>
      <w:r w:rsidR="00FF37ED" w:rsidRPr="00007AC3">
        <w:rPr>
          <w:lang w:val="es-ES"/>
        </w:rPr>
        <w:t xml:space="preserve"> (tbc)</w:t>
      </w:r>
    </w:p>
    <w:p w14:paraId="0962B275" w14:textId="77777777" w:rsidR="00EF4CD3" w:rsidRDefault="00FB2E74">
      <w:pPr>
        <w:pStyle w:val="ListParagraph"/>
        <w:numPr>
          <w:ilvl w:val="0"/>
          <w:numId w:val="4"/>
        </w:numPr>
      </w:pPr>
      <w:r w:rsidRPr="00F23F17">
        <w:rPr>
          <w:b/>
          <w:bCs/>
        </w:rPr>
        <w:t>Till Spranger</w:t>
      </w:r>
      <w:r>
        <w:t>, Chair, Working Group on Strategies and Review.</w:t>
      </w:r>
    </w:p>
    <w:p w14:paraId="338F7A19" w14:textId="77777777" w:rsidR="009B6917" w:rsidRDefault="009B6917"/>
    <w:p w14:paraId="2A64D5F2" w14:textId="19A394C8" w:rsidR="00EF4CD3" w:rsidRDefault="00FB2E74">
      <w:r>
        <w:t>1</w:t>
      </w:r>
      <w:r w:rsidR="00CE5B44">
        <w:t>2</w:t>
      </w:r>
      <w:r w:rsidR="001A230E">
        <w:t>5</w:t>
      </w:r>
      <w:r>
        <w:t>0 End of meeting.</w:t>
      </w:r>
    </w:p>
    <w:p w14:paraId="451662DF" w14:textId="77777777" w:rsidR="00FF37ED" w:rsidRDefault="00FF37ED"/>
    <w:p w14:paraId="712515B0" w14:textId="4C828606" w:rsidR="001C7B41" w:rsidRDefault="001C7B41" w:rsidP="00DF27FF">
      <w:pPr>
        <w:tabs>
          <w:tab w:val="left" w:pos="1782"/>
        </w:tabs>
      </w:pPr>
      <w:r>
        <w:t>Lunch</w:t>
      </w:r>
      <w:r w:rsidR="00DF27FF">
        <w:t xml:space="preserve"> provided for </w:t>
      </w:r>
      <w:r w:rsidR="00607778">
        <w:t>in person participants</w:t>
      </w:r>
      <w:r w:rsidR="00DF27FF">
        <w:tab/>
      </w:r>
    </w:p>
    <w:sectPr w:rsidR="001C7B4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D71F" w14:textId="77777777" w:rsidR="00B64EE3" w:rsidRDefault="00B64EE3" w:rsidP="00CE5B44">
      <w:pPr>
        <w:spacing w:after="0" w:line="240" w:lineRule="auto"/>
      </w:pPr>
      <w:r>
        <w:separator/>
      </w:r>
    </w:p>
  </w:endnote>
  <w:endnote w:type="continuationSeparator" w:id="0">
    <w:p w14:paraId="62EC8E29" w14:textId="77777777" w:rsidR="00B64EE3" w:rsidRDefault="00B64EE3" w:rsidP="00CE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521362"/>
      <w:docPartObj>
        <w:docPartGallery w:val="Page Numbers (Bottom of Page)"/>
        <w:docPartUnique/>
      </w:docPartObj>
    </w:sdtPr>
    <w:sdtContent>
      <w:p w14:paraId="3177FF69" w14:textId="08B7D637" w:rsidR="00CE5B44" w:rsidRDefault="00CE5B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6DAF794A" w14:textId="77777777" w:rsidR="00CE5B44" w:rsidRDefault="00CE5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8C7A" w14:textId="77777777" w:rsidR="00B64EE3" w:rsidRDefault="00B64EE3" w:rsidP="00CE5B44">
      <w:pPr>
        <w:spacing w:after="0" w:line="240" w:lineRule="auto"/>
      </w:pPr>
      <w:r>
        <w:separator/>
      </w:r>
    </w:p>
  </w:footnote>
  <w:footnote w:type="continuationSeparator" w:id="0">
    <w:p w14:paraId="76FC546A" w14:textId="77777777" w:rsidR="00B64EE3" w:rsidRDefault="00B64EE3" w:rsidP="00CE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0206" w14:textId="701963AC" w:rsidR="00CE5B44" w:rsidRDefault="00CE5B44">
    <w:pPr>
      <w:pStyle w:val="Header"/>
    </w:pPr>
    <w:r w:rsidRPr="00CD2435">
      <w:rPr>
        <w:noProof/>
      </w:rPr>
      <w:drawing>
        <wp:anchor distT="0" distB="0" distL="114300" distR="114300" simplePos="0" relativeHeight="251660288" behindDoc="0" locked="0" layoutInCell="1" allowOverlap="1" wp14:anchorId="4728AE98" wp14:editId="676DC7D9">
          <wp:simplePos x="0" y="0"/>
          <wp:positionH relativeFrom="margin">
            <wp:posOffset>4141470</wp:posOffset>
          </wp:positionH>
          <wp:positionV relativeFrom="paragraph">
            <wp:posOffset>228600</wp:posOffset>
          </wp:positionV>
          <wp:extent cx="1722120" cy="526685"/>
          <wp:effectExtent l="0" t="0" r="0" b="6985"/>
          <wp:wrapNone/>
          <wp:docPr id="25602" name="Picture 2" descr="Home">
            <a:extLst xmlns:a="http://schemas.openxmlformats.org/drawingml/2006/main">
              <a:ext uri="{FF2B5EF4-FFF2-40B4-BE49-F238E27FC236}">
                <a16:creationId xmlns:a16="http://schemas.microsoft.com/office/drawing/2014/main" id="{9E1FC260-6791-E904-587D-406D77F73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2" name="Picture 2" descr="Home">
                    <a:extLst>
                      <a:ext uri="{FF2B5EF4-FFF2-40B4-BE49-F238E27FC236}">
                        <a16:creationId xmlns:a16="http://schemas.microsoft.com/office/drawing/2014/main" id="{9E1FC260-6791-E904-587D-406D77F7393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971" cy="529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243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C9490" wp14:editId="43BABA39">
              <wp:simplePos x="0" y="0"/>
              <wp:positionH relativeFrom="margin">
                <wp:align>center</wp:align>
              </wp:positionH>
              <wp:positionV relativeFrom="paragraph">
                <wp:posOffset>533400</wp:posOffset>
              </wp:positionV>
              <wp:extent cx="1596390" cy="266700"/>
              <wp:effectExtent l="0" t="0" r="0" b="0"/>
              <wp:wrapNone/>
              <wp:docPr id="4" name="CaixaDeTexto 3">
                <a:extLst xmlns:a="http://schemas.openxmlformats.org/drawingml/2006/main">
                  <a:ext uri="{FF2B5EF4-FFF2-40B4-BE49-F238E27FC236}">
                    <a16:creationId xmlns:a16="http://schemas.microsoft.com/office/drawing/2014/main" id="{EA39EAC8-B090-0411-0C2F-8D4DBEAE413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1B9F5" w14:textId="77777777" w:rsidR="00CE5B44" w:rsidRPr="00CE5B44" w:rsidRDefault="00CE5B44" w:rsidP="00CE5B44">
                          <w:pPr>
                            <w:rPr>
                              <w:rFonts w:hAnsi="Aptos"/>
                              <w:color w:val="002060"/>
                              <w:kern w:val="24"/>
                              <w:lang w:val="pt-PT"/>
                              <w14:ligatures w14:val="none"/>
                            </w:rPr>
                          </w:pPr>
                          <w:r w:rsidRPr="00CE5B44">
                            <w:rPr>
                              <w:rFonts w:hAnsi="Aptos"/>
                              <w:color w:val="002060"/>
                              <w:kern w:val="24"/>
                              <w:lang w:val="pt-PT"/>
                            </w:rPr>
                            <w:t>www.clrtap-tfrn.org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C9490" id="_x0000_t202" coordsize="21600,21600" o:spt="202" path="m,l,21600r21600,l21600,xe">
              <v:stroke joinstyle="miter"/>
              <v:path gradientshapeok="t" o:connecttype="rect"/>
            </v:shapetype>
            <v:shape id="CaixaDeTexto 3" o:spid="_x0000_s1026" type="#_x0000_t202" style="position:absolute;margin-left:0;margin-top:42pt;width:125.7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" filled="f" stroked="f">
              <v:textbox>
                <w:txbxContent>
                  <w:p w14:paraId="0A91B9F5" w14:textId="77777777" w:rsidR="00CE5B44" w:rsidRPr="00CE5B44" w:rsidRDefault="00CE5B44" w:rsidP="00CE5B44">
                    <w:pPr>
                      <w:rPr>
                        <w:rFonts w:hAnsi="Aptos"/>
                        <w:color w:val="002060"/>
                        <w:kern w:val="24"/>
                        <w:lang w:val="pt-PT"/>
                        <w14:ligatures w14:val="none"/>
                      </w:rPr>
                    </w:pPr>
                    <w:r w:rsidRPr="00CE5B44">
                      <w:rPr>
                        <w:rFonts w:hAnsi="Aptos"/>
                        <w:color w:val="002060"/>
                        <w:kern w:val="24"/>
                        <w:lang w:val="pt-PT"/>
                      </w:rPr>
                      <w:t>www.clrtap-tfrn.org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D2435">
      <w:rPr>
        <w:noProof/>
      </w:rPr>
      <w:drawing>
        <wp:anchor distT="0" distB="0" distL="114300" distR="114300" simplePos="0" relativeHeight="251661312" behindDoc="0" locked="0" layoutInCell="1" allowOverlap="1" wp14:anchorId="7A97E8C1" wp14:editId="2F74A34F">
          <wp:simplePos x="0" y="0"/>
          <wp:positionH relativeFrom="margin">
            <wp:posOffset>-41910</wp:posOffset>
          </wp:positionH>
          <wp:positionV relativeFrom="paragraph">
            <wp:posOffset>243840</wp:posOffset>
          </wp:positionV>
          <wp:extent cx="1706880" cy="541020"/>
          <wp:effectExtent l="0" t="0" r="7620" b="0"/>
          <wp:wrapNone/>
          <wp:docPr id="6" name="Picture 5" descr="C:\Users\au224138\AppData\Local\Microsoft\Windows\INetCache\Content.Word\TFRN Logo_Final.jpg">
            <a:extLst xmlns:a="http://schemas.openxmlformats.org/drawingml/2006/main">
              <a:ext uri="{FF2B5EF4-FFF2-40B4-BE49-F238E27FC236}">
                <a16:creationId xmlns:a16="http://schemas.microsoft.com/office/drawing/2014/main" id="{C61FDD84-4D22-217B-D101-E9555F2F8BF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au224138\AppData\Local\Microsoft\Windows\INetCache\Content.Word\TFRN Logo_Final.jpg">
                    <a:extLst>
                      <a:ext uri="{FF2B5EF4-FFF2-40B4-BE49-F238E27FC236}">
                        <a16:creationId xmlns:a16="http://schemas.microsoft.com/office/drawing/2014/main" id="{C61FDD84-4D22-217B-D101-E9555F2F8BF1}"/>
                      </a:ext>
                    </a:extLst>
                  </pic:cNvPr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174F"/>
    <w:multiLevelType w:val="multilevel"/>
    <w:tmpl w:val="D7AC8C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4A2ED6"/>
    <w:multiLevelType w:val="multilevel"/>
    <w:tmpl w:val="0CA6A3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18267D"/>
    <w:multiLevelType w:val="hybridMultilevel"/>
    <w:tmpl w:val="DAB4C15A"/>
    <w:lvl w:ilvl="0" w:tplc="EC70321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047701"/>
    <w:multiLevelType w:val="multilevel"/>
    <w:tmpl w:val="7E8074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67431F0"/>
    <w:multiLevelType w:val="multilevel"/>
    <w:tmpl w:val="DEC23A74"/>
    <w:lvl w:ilvl="0">
      <w:start w:val="123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4320A6"/>
    <w:multiLevelType w:val="multilevel"/>
    <w:tmpl w:val="5C8A9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0316185">
    <w:abstractNumId w:val="1"/>
  </w:num>
  <w:num w:numId="2" w16cid:durableId="2120103576">
    <w:abstractNumId w:val="0"/>
  </w:num>
  <w:num w:numId="3" w16cid:durableId="1337541507">
    <w:abstractNumId w:val="3"/>
  </w:num>
  <w:num w:numId="4" w16cid:durableId="2016689965">
    <w:abstractNumId w:val="4"/>
  </w:num>
  <w:num w:numId="5" w16cid:durableId="2050377372">
    <w:abstractNumId w:val="5"/>
  </w:num>
  <w:num w:numId="6" w16cid:durableId="96924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F4CD3"/>
    <w:rsid w:val="00007AC3"/>
    <w:rsid w:val="00011E94"/>
    <w:rsid w:val="0001257E"/>
    <w:rsid w:val="0001651D"/>
    <w:rsid w:val="00033BC7"/>
    <w:rsid w:val="000539A0"/>
    <w:rsid w:val="0008300A"/>
    <w:rsid w:val="00085DCD"/>
    <w:rsid w:val="000960E6"/>
    <w:rsid w:val="00097FA7"/>
    <w:rsid w:val="000C160D"/>
    <w:rsid w:val="000C44CA"/>
    <w:rsid w:val="000D0060"/>
    <w:rsid w:val="000F35B9"/>
    <w:rsid w:val="000F59C2"/>
    <w:rsid w:val="00113958"/>
    <w:rsid w:val="00116C42"/>
    <w:rsid w:val="00150F05"/>
    <w:rsid w:val="00151F56"/>
    <w:rsid w:val="0017348C"/>
    <w:rsid w:val="001A2147"/>
    <w:rsid w:val="001A230E"/>
    <w:rsid w:val="001A74EE"/>
    <w:rsid w:val="001B4103"/>
    <w:rsid w:val="001B7C64"/>
    <w:rsid w:val="001C7B41"/>
    <w:rsid w:val="001F5FC2"/>
    <w:rsid w:val="00223170"/>
    <w:rsid w:val="002362B8"/>
    <w:rsid w:val="00254EAB"/>
    <w:rsid w:val="0025549B"/>
    <w:rsid w:val="00276C48"/>
    <w:rsid w:val="00294F84"/>
    <w:rsid w:val="00306C77"/>
    <w:rsid w:val="00307DB9"/>
    <w:rsid w:val="00357A18"/>
    <w:rsid w:val="00390247"/>
    <w:rsid w:val="00393F61"/>
    <w:rsid w:val="00396296"/>
    <w:rsid w:val="003A08DA"/>
    <w:rsid w:val="003D492B"/>
    <w:rsid w:val="003D4CF9"/>
    <w:rsid w:val="003F32D4"/>
    <w:rsid w:val="00413E8D"/>
    <w:rsid w:val="004B15FC"/>
    <w:rsid w:val="004B312D"/>
    <w:rsid w:val="004B45FF"/>
    <w:rsid w:val="004D046D"/>
    <w:rsid w:val="00500B73"/>
    <w:rsid w:val="00507D60"/>
    <w:rsid w:val="00551BA2"/>
    <w:rsid w:val="00554F34"/>
    <w:rsid w:val="005A1562"/>
    <w:rsid w:val="005B4815"/>
    <w:rsid w:val="005F3FEB"/>
    <w:rsid w:val="00604978"/>
    <w:rsid w:val="00607778"/>
    <w:rsid w:val="00655F3B"/>
    <w:rsid w:val="00671D07"/>
    <w:rsid w:val="00674BA6"/>
    <w:rsid w:val="006C2152"/>
    <w:rsid w:val="006E25E7"/>
    <w:rsid w:val="006E355F"/>
    <w:rsid w:val="00726E4F"/>
    <w:rsid w:val="007319B0"/>
    <w:rsid w:val="00747663"/>
    <w:rsid w:val="007479A6"/>
    <w:rsid w:val="007527B7"/>
    <w:rsid w:val="007557BF"/>
    <w:rsid w:val="00757361"/>
    <w:rsid w:val="00777FCE"/>
    <w:rsid w:val="007902B0"/>
    <w:rsid w:val="00791A4A"/>
    <w:rsid w:val="007A0CB6"/>
    <w:rsid w:val="007B787D"/>
    <w:rsid w:val="007E6449"/>
    <w:rsid w:val="008049CE"/>
    <w:rsid w:val="0084313B"/>
    <w:rsid w:val="00845AF7"/>
    <w:rsid w:val="008533E8"/>
    <w:rsid w:val="008A0648"/>
    <w:rsid w:val="008A499B"/>
    <w:rsid w:val="008A5D57"/>
    <w:rsid w:val="008D668A"/>
    <w:rsid w:val="008E0E45"/>
    <w:rsid w:val="00910977"/>
    <w:rsid w:val="00910AA3"/>
    <w:rsid w:val="00925593"/>
    <w:rsid w:val="009355CA"/>
    <w:rsid w:val="009605D0"/>
    <w:rsid w:val="009837BE"/>
    <w:rsid w:val="009B6917"/>
    <w:rsid w:val="009C3530"/>
    <w:rsid w:val="00A00EBE"/>
    <w:rsid w:val="00A144D2"/>
    <w:rsid w:val="00A167B1"/>
    <w:rsid w:val="00A45F3D"/>
    <w:rsid w:val="00A500E6"/>
    <w:rsid w:val="00A866A0"/>
    <w:rsid w:val="00AA650C"/>
    <w:rsid w:val="00AA6EC0"/>
    <w:rsid w:val="00AC6979"/>
    <w:rsid w:val="00AF1DD2"/>
    <w:rsid w:val="00B21993"/>
    <w:rsid w:val="00B43042"/>
    <w:rsid w:val="00B4364D"/>
    <w:rsid w:val="00B5017E"/>
    <w:rsid w:val="00B600E2"/>
    <w:rsid w:val="00B64EE3"/>
    <w:rsid w:val="00B70F0B"/>
    <w:rsid w:val="00B9203F"/>
    <w:rsid w:val="00B93C22"/>
    <w:rsid w:val="00BA6B73"/>
    <w:rsid w:val="00BB34C0"/>
    <w:rsid w:val="00BD4F59"/>
    <w:rsid w:val="00BE33C3"/>
    <w:rsid w:val="00C4078C"/>
    <w:rsid w:val="00C460AB"/>
    <w:rsid w:val="00C83BF6"/>
    <w:rsid w:val="00C93CA5"/>
    <w:rsid w:val="00CA287E"/>
    <w:rsid w:val="00CB3BFD"/>
    <w:rsid w:val="00CD6BFA"/>
    <w:rsid w:val="00CE0D48"/>
    <w:rsid w:val="00CE5B44"/>
    <w:rsid w:val="00CF2D68"/>
    <w:rsid w:val="00D05A64"/>
    <w:rsid w:val="00D0600D"/>
    <w:rsid w:val="00D2253F"/>
    <w:rsid w:val="00D45407"/>
    <w:rsid w:val="00D62384"/>
    <w:rsid w:val="00D7055A"/>
    <w:rsid w:val="00D842C2"/>
    <w:rsid w:val="00D910BD"/>
    <w:rsid w:val="00D91E33"/>
    <w:rsid w:val="00D974CF"/>
    <w:rsid w:val="00DB77A7"/>
    <w:rsid w:val="00DD0F70"/>
    <w:rsid w:val="00DE50A6"/>
    <w:rsid w:val="00DF189C"/>
    <w:rsid w:val="00DF27FF"/>
    <w:rsid w:val="00E07158"/>
    <w:rsid w:val="00E112E6"/>
    <w:rsid w:val="00EA45DD"/>
    <w:rsid w:val="00EB2B0C"/>
    <w:rsid w:val="00EB697E"/>
    <w:rsid w:val="00EC3951"/>
    <w:rsid w:val="00EF4CD3"/>
    <w:rsid w:val="00F00D2B"/>
    <w:rsid w:val="00F01AC9"/>
    <w:rsid w:val="00F11440"/>
    <w:rsid w:val="00F12AA3"/>
    <w:rsid w:val="00F23F17"/>
    <w:rsid w:val="00F550A7"/>
    <w:rsid w:val="00F90774"/>
    <w:rsid w:val="00FB2E74"/>
    <w:rsid w:val="00FE2341"/>
    <w:rsid w:val="00FE38F1"/>
    <w:rsid w:val="00FF34C3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AE499"/>
  <w15:docId w15:val="{87A5D1E7-429B-421B-A347-797136C5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1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58E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158E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1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158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8E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1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8E9"/>
    <w:rPr>
      <w:b/>
      <w:bCs/>
      <w:smallCaps/>
      <w:color w:val="0F4761" w:themeColor="accent1" w:themeShade="BF"/>
      <w:spacing w:val="5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1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8E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8E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8E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E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3951"/>
    <w:pPr>
      <w:suppressAutoHyphens w:val="0"/>
    </w:pPr>
  </w:style>
  <w:style w:type="paragraph" w:styleId="Header">
    <w:name w:val="header"/>
    <w:basedOn w:val="Normal"/>
    <w:link w:val="HeaderChar"/>
    <w:uiPriority w:val="99"/>
    <w:unhideWhenUsed/>
    <w:rsid w:val="00CE5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44"/>
  </w:style>
  <w:style w:type="paragraph" w:styleId="Footer">
    <w:name w:val="footer"/>
    <w:basedOn w:val="Normal"/>
    <w:link w:val="FooterChar"/>
    <w:uiPriority w:val="99"/>
    <w:unhideWhenUsed/>
    <w:rsid w:val="00CE5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592F-61FF-4332-B9D7-384878C461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Sutton</dc:creator>
  <dc:description/>
  <cp:lastModifiedBy>Tommy Dalgaard</cp:lastModifiedBy>
  <cp:revision>21</cp:revision>
  <dcterms:created xsi:type="dcterms:W3CDTF">2025-10-10T06:23:00Z</dcterms:created>
  <dcterms:modified xsi:type="dcterms:W3CDTF">2025-10-10T06:37:00Z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2025-09-08T18:50:02Z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3ef94f90-061b-48c6-9062-20af2fe6c826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